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Databehandleravtale</w:t>
      </w:r>
    </w:p>
    <w:p>
      <w:r>
        <w:t/>
      </w:r>
    </w:p>
    <w:p>
      <w:r>
        <w:t xml:space="preserve">Mellom </w:t>
      </w:r>
      <w:r>
        <w:rPr>
          <w:b/>
        </w:rPr>
        <w:t xml:space="preserve">[behandlingsansvarlig, organisasjonsnummer]</w:t>
      </w:r>
      <w:r>
        <w:t xml:space="preserve"> og </w:t>
      </w:r>
      <w:r>
        <w:rPr>
          <w:b/>
        </w:rPr>
        <w:t xml:space="preserve">[databehandler, organisasjonsnummer]</w:t>
      </w:r>
      <w:r>
        <w:t xml:space="preserve">, i tråd med personvernforordningen artikkel 28.</w:t>
      </w:r>
    </w:p>
    <w:p>
      <w:r>
        <w:t/>
      </w:r>
    </w:p>
    <w:p>
      <w:pPr>
        <w:pStyle w:val="Heading2"/>
      </w:pPr>
      <w:r>
        <w:rPr>
          <w:b/>
        </w:rPr>
        <w:t xml:space="preserve">1. Hva databehandleren gjør</w:t>
      </w:r>
    </w:p>
    <w:p>
      <w:r>
        <w:t/>
      </w:r>
    </w:p>
    <w:p>
      <w:r>
        <w:t xml:space="preserve">Databehandleren behandler personopplysninger på vegne av den behandlingsansvarlige i forbindelse med </w:t>
      </w:r>
      <w:r>
        <w:rPr>
          <w:b/>
        </w:rPr>
        <w:t xml:space="preserve">[tjenesten]</w:t>
      </w:r>
      <w:r>
        <w:t xml:space="preserve">, og bare etter dokumenterte instrukser fra den behandlingsansvarlige.</w:t>
      </w:r>
    </w:p>
    <w:p>
      <w:r>
        <w:t/>
      </w:r>
    </w:p>
    <w:p>
      <w:pPr>
        <w:pStyle w:val="Heading2"/>
      </w:pPr>
      <w:r>
        <w:rPr>
          <w:b/>
        </w:rPr>
        <w:t xml:space="preserve">2. Hva som behandles</w:t>
      </w:r>
    </w:p>
    <w:p>
      <w:r>
        <w:t/>
      </w:r>
    </w:p>
    <w:p>
      <w:pPr>
        <w:ind w:left="360"/>
      </w:pPr>
      <w:r>
        <w:t xml:space="preserve">•  Formål: </w:t>
      </w:r>
      <w:r>
        <w:rPr>
          <w:b/>
        </w:rPr>
        <w:t xml:space="preserve">[hvorfor]</w:t>
      </w:r>
    </w:p>
    <w:p>
      <w:pPr>
        <w:ind w:left="360"/>
      </w:pPr>
      <w:r>
        <w:t xml:space="preserve">•  Varighet: så lenge avtalen om tjenesten løper</w:t>
      </w:r>
    </w:p>
    <w:p>
      <w:pPr>
        <w:ind w:left="360"/>
      </w:pPr>
      <w:r>
        <w:t xml:space="preserve">•  Kategorier av registrerte: </w:t>
      </w:r>
      <w:r>
        <w:rPr>
          <w:b/>
        </w:rPr>
        <w:t xml:space="preserve">[ansatte, kunder, medlemmer]</w:t>
      </w:r>
    </w:p>
    <w:p>
      <w:pPr>
        <w:ind w:left="360"/>
      </w:pPr>
      <w:r>
        <w:t xml:space="preserve">•  Kategorier av opplysninger: </w:t>
      </w:r>
      <w:r>
        <w:rPr>
          <w:b/>
        </w:rPr>
        <w:t xml:space="preserve">[navn, kontaktopplysninger, …]</w:t>
      </w:r>
    </w:p>
    <w:p>
      <w:pPr>
        <w:ind w:left="360"/>
      </w:pPr>
      <w:r>
        <w:t xml:space="preserve">•  Særlige kategorier: </w:t>
      </w:r>
      <w:r>
        <w:rPr>
          <w:b/>
        </w:rPr>
        <w:t xml:space="preserve">[ingen / helseopplysninger / …]</w:t>
      </w:r>
    </w:p>
    <w:p>
      <w:r>
        <w:t/>
      </w:r>
    </w:p>
    <w:p>
      <w:pPr>
        <w:pStyle w:val="Heading2"/>
      </w:pPr>
      <w:r>
        <w:rPr>
          <w:b/>
        </w:rPr>
        <w:t xml:space="preserve">3. Taushetsplikt</w:t>
      </w:r>
    </w:p>
    <w:p>
      <w:r>
        <w:t/>
      </w:r>
    </w:p>
    <w:p>
      <w:r>
        <w:t xml:space="preserve">Databehandleren sørger for at alle med tilgang er underlagt taushetsplikt.</w:t>
      </w:r>
    </w:p>
    <w:p>
      <w:r>
        <w:t/>
      </w:r>
    </w:p>
    <w:p>
      <w:pPr>
        <w:pStyle w:val="Heading2"/>
      </w:pPr>
      <w:r>
        <w:rPr>
          <w:b/>
        </w:rPr>
        <w:t xml:space="preserve">4. Sikkerhet</w:t>
      </w:r>
    </w:p>
    <w:p>
      <w:r>
        <w:t/>
      </w:r>
    </w:p>
    <w:p>
      <w:r>
        <w:t xml:space="preserve">Databehandleren gjennomfører egnede tekniske og organisatoriske tiltak etter artikkel 32, og kan på forespørsel dokumentere hvilke.</w:t>
      </w:r>
    </w:p>
    <w:p>
      <w:r>
        <w:t/>
      </w:r>
    </w:p>
    <w:p>
      <w:pPr>
        <w:pStyle w:val="Heading2"/>
      </w:pPr>
      <w:r>
        <w:rPr>
          <w:b/>
        </w:rPr>
        <w:t xml:space="preserve">5. Underdatabehandlere</w:t>
      </w:r>
    </w:p>
    <w:p>
      <w:r>
        <w:t/>
      </w:r>
    </w:p>
    <w:p>
      <w:r>
        <w:t xml:space="preserve">Databehandleren kan bruke underdatabehandlere som er listet i vedlegg 1. Endringer varsles minst </w:t>
      </w:r>
      <w:r>
        <w:rPr>
          <w:b/>
        </w:rPr>
        <w:t xml:space="preserve">[antall] dager</w:t>
      </w:r>
      <w:r>
        <w:t xml:space="preserve"> i forveien, og den behandlingsansvarlige kan protestere. Underdatabehandlere pålegges de samme pliktene som står her.</w:t>
      </w:r>
    </w:p>
    <w:p>
      <w:r>
        <w:t/>
      </w:r>
    </w:p>
    <w:p>
      <w:pPr>
        <w:pStyle w:val="Heading2"/>
      </w:pPr>
      <w:r>
        <w:rPr>
          <w:b/>
        </w:rPr>
        <w:t xml:space="preserve">6. Overføring ut av EØS</w:t>
      </w:r>
    </w:p>
    <w:p>
      <w:r>
        <w:t/>
      </w:r>
    </w:p>
    <w:p>
      <w:r>
        <w:t xml:space="preserve">Skjer ikke uten et gyldig overføringsgrunnlag, og den behandlingsansvarlige skal vite om det på forhånd.</w:t>
      </w:r>
    </w:p>
    <w:p>
      <w:r>
        <w:t/>
      </w:r>
    </w:p>
    <w:p>
      <w:pPr>
        <w:pStyle w:val="Heading2"/>
      </w:pPr>
      <w:r>
        <w:rPr>
          <w:b/>
        </w:rPr>
        <w:t xml:space="preserve">7. Bistand</w:t>
      </w:r>
    </w:p>
    <w:p>
      <w:r>
        <w:t/>
      </w:r>
    </w:p>
    <w:p>
      <w:r>
        <w:t xml:space="preserve">Databehandleren bistår den behandlingsansvarlige med å svare på henvendelser fra registrerte, og med vurderinger av personvernkonsekvenser og forhåndsdrøftinger, i den grad det er nødvendig.</w:t>
      </w:r>
    </w:p>
    <w:p>
      <w:r>
        <w:t/>
      </w:r>
    </w:p>
    <w:p>
      <w:pPr>
        <w:pStyle w:val="Heading2"/>
      </w:pPr>
      <w:r>
        <w:rPr>
          <w:b/>
        </w:rPr>
        <w:t xml:space="preserve">8. Brudd på personopplysningssikkerheten</w:t>
      </w:r>
    </w:p>
    <w:p>
      <w:r>
        <w:t/>
      </w:r>
    </w:p>
    <w:p>
      <w:r>
        <w:t xml:space="preserve">Databehandleren varsler den behandlingsansvarlige uten ugrunnet opphold, og senest innen </w:t>
      </w:r>
      <w:r>
        <w:rPr>
          <w:b/>
        </w:rPr>
        <w:t xml:space="preserve">[antall] timer</w:t>
      </w:r>
      <w:r>
        <w:t xml:space="preserve">, med det hen vet om hva som skjedde, hvem det gjelder og hva som er gjort.</w:t>
      </w:r>
    </w:p>
    <w:p>
      <w:r>
        <w:t/>
      </w:r>
    </w:p>
    <w:p>
      <w:pPr>
        <w:pStyle w:val="Heading2"/>
      </w:pPr>
      <w:r>
        <w:rPr>
          <w:b/>
        </w:rPr>
        <w:t xml:space="preserve">9. Revisjon</w:t>
      </w:r>
    </w:p>
    <w:p>
      <w:r>
        <w:t/>
      </w:r>
    </w:p>
    <w:p>
      <w:r>
        <w:t xml:space="preserve">Den behandlingsansvarlige kan revidere etterlevelsen én gang i året, og ellers ved mistanke om brudd, etter varsel på </w:t>
      </w:r>
      <w:r>
        <w:rPr>
          <w:b/>
        </w:rPr>
        <w:t xml:space="preserve">[antall] dager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10. Når avtalen opphører</w:t>
      </w:r>
    </w:p>
    <w:p>
      <w:r>
        <w:t/>
      </w:r>
    </w:p>
    <w:p>
      <w:r>
        <w:t xml:space="preserve">Databehandleren sletter eller returnerer alle personopplysninger, etter den behandlingsansvarliges valg, og sletter kopier, med mindre loven krever lagring.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